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162E3543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AD1BF6">
                  <w:t>Экспедирование грузов</w:t>
                </w:r>
                <w:r>
                  <w:t>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76E3F89F" w:rsidR="00B610A2" w:rsidRDefault="00B610A2" w:rsidP="00B610A2">
                <w:pPr>
                  <w:spacing w:line="360" w:lineRule="auto"/>
                </w:pPr>
                <w:r>
                  <w:t>20</w:t>
                </w:r>
                <w:r w:rsidR="00AD1BF6">
                  <w:t>23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21D15FDA" w:rsidR="00B610A2" w:rsidRDefault="00B610A2" w:rsidP="00B610A2">
                <w:pPr>
                  <w:spacing w:line="360" w:lineRule="auto"/>
                  <w:jc w:val="right"/>
                </w:pPr>
                <w:r>
                  <w:t>«</w:t>
                </w:r>
                <w:r w:rsidR="00AD1BF6">
                  <w:t>Экспедирование грузов</w:t>
                </w:r>
                <w:r>
                  <w:t>»</w:t>
                </w:r>
              </w:p>
              <w:p w14:paraId="3D86966A" w14:textId="00E21B63"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____</w:t>
                </w:r>
                <w:r w:rsidR="009B18A2">
                  <w:t>_____</w:t>
                </w:r>
                <w:r>
                  <w:t>____________ ФИО</w:t>
                </w:r>
              </w:p>
              <w:p w14:paraId="4D757F60" w14:textId="31272EF6" w:rsidR="00B610A2" w:rsidRDefault="00B610A2" w:rsidP="00B610A2">
                <w:pPr>
                  <w:spacing w:line="360" w:lineRule="auto"/>
                </w:pPr>
                <w:r>
                  <w:t xml:space="preserve">                                       «_____» __________ 20</w:t>
                </w:r>
                <w:r w:rsidR="00AD1BF6">
                  <w:t>23</w:t>
                </w:r>
                <w:r>
                  <w:t xml:space="preserve">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25225078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AD1BF6">
            <w:rPr>
              <w:rFonts w:ascii="Times New Roman" w:eastAsia="Arial Unicode MS" w:hAnsi="Times New Roman" w:cs="Times New Roman"/>
              <w:sz w:val="56"/>
              <w:szCs w:val="56"/>
            </w:rPr>
            <w:t>Экспедирование грузов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C1591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54FC81B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AD1BF6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0590D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70590D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70590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14FF622C" w:rsidR="009B18A2" w:rsidRDefault="0029547E" w:rsidP="0070590D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7E98462A" w:rsidR="009B18A2" w:rsidRDefault="00C1591E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598B3518" w:rsidR="009B18A2" w:rsidRDefault="00C1591E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70590D">
          <w:rPr>
            <w:rStyle w:val="ae"/>
            <w:noProof/>
          </w:rPr>
          <w:t>Экспедирование грузов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04B6B59C" w:rsidR="009B18A2" w:rsidRDefault="00C1591E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11</w:t>
        </w:r>
        <w:r w:rsidR="009B18A2">
          <w:rPr>
            <w:noProof/>
            <w:webHidden/>
          </w:rPr>
          <w:fldChar w:fldCharType="end"/>
        </w:r>
      </w:hyperlink>
    </w:p>
    <w:p w14:paraId="40B5B8DA" w14:textId="75D0323D" w:rsidR="009B18A2" w:rsidRDefault="00C1591E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12</w:t>
        </w:r>
        <w:r w:rsidR="009B18A2">
          <w:rPr>
            <w:noProof/>
            <w:webHidden/>
          </w:rPr>
          <w:fldChar w:fldCharType="end"/>
        </w:r>
      </w:hyperlink>
    </w:p>
    <w:p w14:paraId="16814EF3" w14:textId="3DF921E1" w:rsidR="009B18A2" w:rsidRDefault="00C1591E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14</w:t>
        </w:r>
        <w:r w:rsidR="009B18A2">
          <w:rPr>
            <w:noProof/>
            <w:webHidden/>
          </w:rPr>
          <w:fldChar w:fldCharType="end"/>
        </w:r>
      </w:hyperlink>
    </w:p>
    <w:p w14:paraId="79BE8C40" w14:textId="182FC517" w:rsidR="009B18A2" w:rsidRDefault="00C1591E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18</w:t>
        </w:r>
        <w:r w:rsidR="009B18A2">
          <w:rPr>
            <w:noProof/>
            <w:webHidden/>
          </w:rPr>
          <w:fldChar w:fldCharType="end"/>
        </w:r>
      </w:hyperlink>
    </w:p>
    <w:p w14:paraId="1E177A7F" w14:textId="1266BBF6" w:rsidR="009B18A2" w:rsidRDefault="00C1591E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19</w:t>
        </w:r>
        <w:r w:rsidR="009B18A2">
          <w:rPr>
            <w:noProof/>
            <w:webHidden/>
          </w:rPr>
          <w:fldChar w:fldCharType="end"/>
        </w:r>
      </w:hyperlink>
    </w:p>
    <w:p w14:paraId="05C32EBC" w14:textId="25CAE437" w:rsidR="009B18A2" w:rsidRDefault="00C1591E" w:rsidP="0070590D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19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70590D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54537E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7F1C2B" w14:textId="77777777" w:rsidR="0070590D" w:rsidRPr="00A204BB" w:rsidRDefault="0070590D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5A38FD2E" w14:textId="329DB188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КЗ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конкурсное задание</w:t>
      </w:r>
    </w:p>
    <w:p w14:paraId="6A4550C6" w14:textId="77777777" w:rsidR="00AD1BF6" w:rsidRDefault="00F50AC5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14:paraId="5097356A" w14:textId="77777777" w:rsidR="00AD1BF6" w:rsidRDefault="00AD1BF6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ПЗ -план застройки</w:t>
      </w:r>
    </w:p>
    <w:p w14:paraId="6E1D0370" w14:textId="77777777" w:rsidR="00AD1BF6" w:rsidRDefault="00AD1BF6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ТК – требования компетенции</w:t>
      </w:r>
    </w:p>
    <w:p w14:paraId="491CE0B4" w14:textId="77777777" w:rsidR="004F016C" w:rsidRDefault="00AD1BF6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Инкотермс – свод торговых правил</w:t>
      </w:r>
    </w:p>
    <w:p w14:paraId="2D251E6E" w14:textId="2D6C807D" w:rsidR="00FB3492" w:rsidRDefault="004F016C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КО – критерии оценки</w:t>
      </w:r>
    </w:p>
    <w:p w14:paraId="368A170C" w14:textId="1903861F" w:rsidR="004F016C" w:rsidRPr="004F016C" w:rsidRDefault="004F016C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ЛИК – личный инструмент конкурсанта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EDDF146" w:rsidR="00E857D6" w:rsidRPr="00A204BB" w:rsidRDefault="00D37DE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AD1BF6">
        <w:rPr>
          <w:rFonts w:ascii="Times New Roman" w:hAnsi="Times New Roman" w:cs="Times New Roman"/>
          <w:sz w:val="28"/>
          <w:szCs w:val="28"/>
        </w:rPr>
        <w:t>Экспедирование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B4AFB24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D1BF6">
        <w:rPr>
          <w:rFonts w:ascii="Times New Roman" w:hAnsi="Times New Roman"/>
          <w:color w:val="000000"/>
          <w:sz w:val="24"/>
          <w:lang w:val="ru-RU"/>
        </w:rPr>
        <w:t>ЭКСПЕДИРОВАНИЕ ГРУЗОВ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4B2DFC65" w:rsidR="00764773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перевозочного процесса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3E39D15" w:rsidR="00764773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35AED1E" w14:textId="4E9FE779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оперативное планирование, формы и 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управления работой на транспорте (по видам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транспорта);</w:t>
            </w:r>
          </w:p>
          <w:p w14:paraId="0F07B62E" w14:textId="6534E416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основы эксплуатации технических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транспорта (по видам транспорта);</w:t>
            </w:r>
          </w:p>
          <w:p w14:paraId="35E4B511" w14:textId="79DB1311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систему учета, отчета и анализа работы;</w:t>
            </w:r>
          </w:p>
          <w:p w14:paraId="6C0B4C7F" w14:textId="1CD0F2A3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работникам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документам, регламентирующим безопасность</w:t>
            </w:r>
          </w:p>
          <w:p w14:paraId="4BCD6E81" w14:textId="6AE83C4C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движения на транспорте;</w:t>
            </w:r>
          </w:p>
          <w:p w14:paraId="10DDAF26" w14:textId="3CDC2026" w:rsidR="00CD670F" w:rsidRPr="000244DA" w:rsidRDefault="000164A8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информационных и телекоммуникационных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технологий в профессиональной деятельности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6A0B81" w14:textId="0AAB69CE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,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выполнения заданий и графиков;</w:t>
            </w:r>
          </w:p>
          <w:p w14:paraId="26965457" w14:textId="25361B15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электронно-вычислительны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обработки оперативной информации;</w:t>
            </w:r>
          </w:p>
          <w:p w14:paraId="702E6352" w14:textId="01D7400D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ассчи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на выполнение операций;</w:t>
            </w:r>
          </w:p>
          <w:p w14:paraId="63902F78" w14:textId="75E0354D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транспорта;</w:t>
            </w:r>
          </w:p>
          <w:p w14:paraId="7FCD5140" w14:textId="1AADABFB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анализировать документы, регламентирующие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работу транспорта в целом и его объектов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частности;</w:t>
            </w:r>
          </w:p>
          <w:p w14:paraId="26437B79" w14:textId="762F1E86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использовать программное обеспечение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решения транспортных задач;</w:t>
            </w:r>
          </w:p>
          <w:p w14:paraId="2C196CFE" w14:textId="566095A3" w:rsidR="00764773" w:rsidRPr="000244DA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9B2A6B6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16788766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6FD16270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85B66" w:rsidRPr="003732A7" w14:paraId="25CCC95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2D2645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BFB493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535A435" w14:textId="5067E715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требования к управлению персоналом;</w:t>
            </w:r>
          </w:p>
          <w:p w14:paraId="75E94863" w14:textId="0265F28F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систему организации движения;</w:t>
            </w:r>
          </w:p>
          <w:p w14:paraId="1C8EA81B" w14:textId="4C8B0CB0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правила документального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перевозок багажа;</w:t>
            </w:r>
          </w:p>
          <w:p w14:paraId="2B25F131" w14:textId="5295A57C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движения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транспорте (по видам транспорта);</w:t>
            </w:r>
          </w:p>
          <w:p w14:paraId="7A22160E" w14:textId="1D549644" w:rsidR="00885B66" w:rsidRPr="00885B66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перевозок и управлении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транспорте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8B513FF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BD8043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763401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65BD2D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8A4FA72" w14:textId="4BD560FA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знаний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оперативного регулирования и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21F53303" w14:textId="1A99C265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грузовых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перевозок;</w:t>
            </w:r>
          </w:p>
          <w:p w14:paraId="23067F54" w14:textId="251A571B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14:paraId="3C1B4EEB" w14:textId="77777777" w:rsid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обеспечить управление движением;</w:t>
            </w:r>
          </w:p>
          <w:p w14:paraId="5AB5C196" w14:textId="292B9EE5" w:rsidR="00885B66" w:rsidRPr="00885B66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анализировать работу транспорта;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D06C51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5134301B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3ABC4DF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6FAC50D6" w14:textId="77777777" w:rsid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2846F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52BAE78E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транспортно -</w:t>
            </w:r>
            <w:r w:rsidR="00EB1C88"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логистической деятельности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E2045C8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885B66" w:rsidRPr="003732A7" w14:paraId="70EE338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D9623C5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8375B8E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0E03B9" w14:textId="6598AC9B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основы построения транспортных логистических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цепей;</w:t>
            </w:r>
          </w:p>
          <w:p w14:paraId="76A963A7" w14:textId="77777777" w:rsid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классификацию опасных грузов;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62E7BC" w14:textId="30E45DC3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порядок нанесения знаков опасности;</w:t>
            </w:r>
          </w:p>
          <w:p w14:paraId="7DDEBF95" w14:textId="0EB4F50A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назначение и функциональные возможности</w:t>
            </w:r>
            <w:r w:rsidR="004D2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систем, применяемых в грузовой работе;</w:t>
            </w:r>
          </w:p>
          <w:p w14:paraId="6568B036" w14:textId="25925B3C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правила перевозок грузов;</w:t>
            </w:r>
          </w:p>
          <w:p w14:paraId="7C3CF5D5" w14:textId="20EEBA36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организацию грузовой работы на транспорте;</w:t>
            </w:r>
          </w:p>
          <w:p w14:paraId="7E307525" w14:textId="46E05526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требования к персоналу по оформлению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перевозок и расчетов по ним;</w:t>
            </w:r>
          </w:p>
          <w:p w14:paraId="240B01C8" w14:textId="7A08F01E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формы перевозочных документов;</w:t>
            </w:r>
          </w:p>
          <w:p w14:paraId="7D161104" w14:textId="448372CF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организацию работы с клиентурой: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грузовую отчетность;</w:t>
            </w:r>
          </w:p>
          <w:p w14:paraId="240EA862" w14:textId="53074D54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перевозке грузов,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особенно опасных;</w:t>
            </w:r>
          </w:p>
          <w:p w14:paraId="01386DAC" w14:textId="7BFE02C8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меры по обеспечению сохранности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перевозке грузов;</w:t>
            </w:r>
          </w:p>
          <w:p w14:paraId="6CD4009A" w14:textId="3758D824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цели и понятия логистики;</w:t>
            </w:r>
          </w:p>
          <w:p w14:paraId="447DC26C" w14:textId="61D73E6D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особенности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внутрипроизводственной логистики;</w:t>
            </w:r>
          </w:p>
          <w:p w14:paraId="279894AF" w14:textId="4B82014B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основные принципы транспортной логистики;</w:t>
            </w:r>
          </w:p>
          <w:p w14:paraId="2BAD81EA" w14:textId="77777777" w:rsidR="00885B66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правила размещения и крепления грузов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257D59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структуру коммерческого предложения;</w:t>
            </w:r>
          </w:p>
          <w:p w14:paraId="5F469E7D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методику расчета стоимости перевозки</w:t>
            </w:r>
          </w:p>
          <w:p w14:paraId="333B157A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правила перевозки на различных видах транспорта;</w:t>
            </w:r>
          </w:p>
          <w:p w14:paraId="7CB3AAA8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действующие системы тарификации основных перевозчиков по основным направлениям;</w:t>
            </w:r>
          </w:p>
          <w:p w14:paraId="13A6D7DC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систему тарифов, скидок, льгот на перевозки;</w:t>
            </w:r>
          </w:p>
          <w:p w14:paraId="02B3CAE6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перевозках;</w:t>
            </w:r>
          </w:p>
          <w:p w14:paraId="467B80F8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нормы и нормативы операций по погрузке или выгрузке груза;</w:t>
            </w:r>
          </w:p>
          <w:p w14:paraId="13E715BC" w14:textId="0B0F7268" w:rsidR="00CD670F" w:rsidRPr="00885B66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правила исчисления оплаты и сборов на различных видах транспорта;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39869E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409CF6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2F40C5" w14:textId="57665F55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92FCD4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D9A1059" w14:textId="6EAA8584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71F229" w14:textId="0293AEE6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платеж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за перевозки;</w:t>
            </w:r>
          </w:p>
          <w:p w14:paraId="560F068B" w14:textId="6C4CD2CD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рассчитывать показатели качества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эффективности транспортной логистики;</w:t>
            </w:r>
          </w:p>
          <w:p w14:paraId="183B8E3D" w14:textId="10928699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определять класс и степень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перевозимых грузов;</w:t>
            </w:r>
          </w:p>
          <w:p w14:paraId="6FAF20FA" w14:textId="7D3F5418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14:paraId="51811D24" w14:textId="07FA376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ассчитывать ставки и сроки доставки на основе полученных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данных в отведенное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47CC56" w14:textId="4667C31F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ассчитывать стоимость перевозки на основе имеющихся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586AEF" w14:textId="6FD01A7F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апрашивать необходимые для подготовки коммерческого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предложения данные у подрядчиков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EC090B" w14:textId="2144374C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азрабатывать оптимальные схемы прохождения груза от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отправления до пункта назначения в короткие сроки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оптимальных затратах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40272E" w14:textId="70387723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аботать на персональном компьютере с применением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необходимых программ, включая офисные приложения,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факсимильной и копировальной оргтехнике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D4C1B8" w14:textId="1842CE18" w:rsidR="00CD670F" w:rsidRPr="00885B66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тправлять и принимать различные электронные документы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электронной и обычной почте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18AF4B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A753297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FF90038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эффективности транспортной деятельности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073F1233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2F7CA90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35494C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F1B1B00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9C086F1" w14:textId="2CFEE9FE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концепции маркетинга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управление маркетингом на транспорте;</w:t>
            </w:r>
          </w:p>
          <w:p w14:paraId="78D15A9A" w14:textId="0566B257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спроса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транспортные услуги;</w:t>
            </w:r>
          </w:p>
          <w:p w14:paraId="6342599F" w14:textId="6A6638DA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комплекс маркетинга в транспортных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организациях;</w:t>
            </w:r>
          </w:p>
          <w:p w14:paraId="3F4A0D92" w14:textId="27154E1B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принципы управления качеством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обслуживания;</w:t>
            </w:r>
          </w:p>
          <w:p w14:paraId="16F75D7A" w14:textId="0AD70C2D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международные перевозки;</w:t>
            </w:r>
          </w:p>
          <w:p w14:paraId="2AC9D715" w14:textId="0DF3721F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порядок расчета тарифа;</w:t>
            </w:r>
          </w:p>
          <w:p w14:paraId="4FDB9A5E" w14:textId="768C501C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методы изучения транспортного рынка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формирования спроса на транспортные услуги;</w:t>
            </w:r>
          </w:p>
          <w:p w14:paraId="36CCBB09" w14:textId="77A9F289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порядок начисления, оплаты и возврата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на добавленную стоимость при внешнеторговых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перевозках;</w:t>
            </w:r>
          </w:p>
          <w:p w14:paraId="5D49F71F" w14:textId="2D52E26A" w:rsidR="00885B66" w:rsidRPr="00885B66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маркетинговых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исследований транспортных услуг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9A4CAE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489FEFF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244847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EAC0ABE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034997" w14:textId="7728A073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различные виды грузов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условий перевозок;</w:t>
            </w:r>
          </w:p>
          <w:p w14:paraId="095BD27C" w14:textId="6907EF07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исследований транспортных услуг;</w:t>
            </w:r>
          </w:p>
          <w:p w14:paraId="1A5CD095" w14:textId="06F51A11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применять методы изучения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рынка;</w:t>
            </w:r>
          </w:p>
          <w:p w14:paraId="75BAB4C0" w14:textId="051D14CA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анализировать рыночные возможности;</w:t>
            </w:r>
          </w:p>
          <w:p w14:paraId="16B514AD" w14:textId="439145D1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проводить анализ транспортных услуг и спроса;</w:t>
            </w:r>
          </w:p>
          <w:p w14:paraId="0BF5B55F" w14:textId="7F5FE90B" w:rsidR="00885B66" w:rsidRPr="00885B66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исчислять дополнительные сборы при перевозке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грузов в между</w:t>
            </w:r>
            <w:r w:rsidR="007F1861">
              <w:rPr>
                <w:rFonts w:ascii="Times New Roman" w:hAnsi="Times New Roman" w:cs="Times New Roman"/>
                <w:sz w:val="28"/>
                <w:szCs w:val="28"/>
              </w:rPr>
              <w:t>народном направлении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3BAE70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06C23AF4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0377F516" w:rsidR="00885B66" w:rsidRPr="0070590D" w:rsidRDefault="00030BA5" w:rsidP="00030BA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и организация логистических процессов в транспортировке и сервисном обслуживании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9AB761D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2800262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B26933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98498F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95EF4CA" w14:textId="7A97E1C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основы логистики складирования: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складов, функции;</w:t>
            </w:r>
          </w:p>
          <w:p w14:paraId="4607A578" w14:textId="75C6A6FC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варианты размещения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помещений;</w:t>
            </w:r>
          </w:p>
          <w:p w14:paraId="43EBAB91" w14:textId="4B0211C8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принципы выбора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собственности склада;</w:t>
            </w:r>
          </w:p>
          <w:p w14:paraId="7E94A4C3" w14:textId="4A5EB5F7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основы организации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склада и управления им;</w:t>
            </w:r>
          </w:p>
          <w:p w14:paraId="30411B66" w14:textId="2BFB6436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структуру затрат на складирование,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направления оптимизации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системы складирования,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зонирования склада и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товаров;</w:t>
            </w:r>
          </w:p>
          <w:p w14:paraId="376193D1" w14:textId="4C04303B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производственных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процессов;</w:t>
            </w:r>
          </w:p>
          <w:p w14:paraId="4996B390" w14:textId="1D36E80E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принципы управления потоками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логистических системах;</w:t>
            </w:r>
          </w:p>
          <w:p w14:paraId="60E2D5C1" w14:textId="7EE5435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механизмы оптимизации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внутрипроизводственных издержек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системы;</w:t>
            </w:r>
          </w:p>
          <w:p w14:paraId="22FE78E8" w14:textId="4295FD6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понятие и задачи транспортной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логистики;</w:t>
            </w:r>
          </w:p>
          <w:p w14:paraId="177124BD" w14:textId="4396254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транспорта;</w:t>
            </w:r>
          </w:p>
          <w:p w14:paraId="6A9B32EF" w14:textId="653E5D8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значение транспортных тарифов;</w:t>
            </w:r>
          </w:p>
          <w:p w14:paraId="500FD32A" w14:textId="68088CC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организационные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транспортировки;</w:t>
            </w:r>
          </w:p>
          <w:p w14:paraId="097AB37B" w14:textId="6E3699DC" w:rsidR="005062B0" w:rsidRPr="000244DA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стратегию ценообразования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определения "полезных" затрат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перевозок,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транспортных расходов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3442304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3722A3C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CCBDA2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BFD60BF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3D0884" w14:textId="7B23FA6E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товарно-материальных ценностей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занесения в описи их полного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наименования, назначения,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инвентарных номеров и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технических или эксплуатационных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показателей, проверки наличия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документов, сопровождающих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поставку (отгрузку) материальных</w:t>
            </w:r>
          </w:p>
          <w:p w14:paraId="057C64C8" w14:textId="77777777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ценностей;</w:t>
            </w:r>
          </w:p>
          <w:p w14:paraId="12F1E226" w14:textId="07AC8D01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зонирования складских помещений,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рационального размещения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 складе, организации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работ;</w:t>
            </w:r>
          </w:p>
          <w:p w14:paraId="38C753FC" w14:textId="7F0AD7B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организации разгрузки,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транспортировки к месту приемки,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приемки, размещения,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укладки и хранения товаров;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оперативном планировании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и управлении материальными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потоками в производстве;</w:t>
            </w:r>
          </w:p>
          <w:p w14:paraId="49ABE38C" w14:textId="180A31A1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выборе вида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средства, разработке смет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транспортных расходов;</w:t>
            </w:r>
          </w:p>
          <w:p w14:paraId="62453C30" w14:textId="65D2613A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разработки маршрутов следования;</w:t>
            </w:r>
          </w:p>
          <w:p w14:paraId="75BD840C" w14:textId="071F2315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терминальных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перевозок;</w:t>
            </w:r>
          </w:p>
          <w:p w14:paraId="027FB421" w14:textId="7A2CFAAB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оптимизации транспортных расходов;</w:t>
            </w:r>
          </w:p>
          <w:p w14:paraId="459D7CCA" w14:textId="2E763AAC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склада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элементов;</w:t>
            </w:r>
          </w:p>
          <w:p w14:paraId="7E9AC0FB" w14:textId="021B3AC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потребность в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помещениях, рассчитывать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склада, рассчитывать и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складские расходы;</w:t>
            </w:r>
          </w:p>
          <w:p w14:paraId="7893B237" w14:textId="6AADF1BF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выбирать подъемно-транспортное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оборудование, организовывать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грузопереработку на складе</w:t>
            </w:r>
            <w:r w:rsidR="0080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(погрузку, транспортировку, приемку,</w:t>
            </w:r>
            <w:r w:rsidR="0080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размещение, укладку, хранение);</w:t>
            </w:r>
          </w:p>
          <w:p w14:paraId="7AD6F3A4" w14:textId="1FA4A162" w:rsidR="005062B0" w:rsidRPr="005062B0" w:rsidRDefault="00805BB2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рассчитывать потребности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материальных ресурсах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производственного процесса;</w:t>
            </w:r>
          </w:p>
          <w:p w14:paraId="4093D096" w14:textId="6741E831" w:rsidR="005062B0" w:rsidRPr="000244DA" w:rsidRDefault="00805BB2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рассчитывать транспортные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B5D114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65513C28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6C370038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72606A9E" w:rsidR="00885B66" w:rsidRPr="0070590D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и оценка эффективности работы логистических систем, контроль логистических операций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1BE1E69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85B66" w:rsidRPr="003732A7" w14:paraId="5F6DBC6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7577D7F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DBBB194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60DC556" w14:textId="5C234A0B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значение, формы и методы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логистических процессов и операций;</w:t>
            </w:r>
          </w:p>
          <w:p w14:paraId="035E864C" w14:textId="428A57DD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методику анализа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стратегического и оперативного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логистических планов;</w:t>
            </w:r>
          </w:p>
          <w:p w14:paraId="68819F1D" w14:textId="04ACD04D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критерии и методы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рентабельности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 и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отдельных элементов;</w:t>
            </w:r>
          </w:p>
          <w:p w14:paraId="72767755" w14:textId="05F73C32" w:rsidR="00885B66" w:rsidRPr="000244DA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методологию 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товарно-материальных ценностей.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CCDE02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3C58CCE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130F060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D5270C7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4DA7304" w14:textId="0252F740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эффективности,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и контроля логистических операций,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процессов, систем;</w:t>
            </w:r>
          </w:p>
          <w:p w14:paraId="6E918E15" w14:textId="594502B5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выявления уязвимых мест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ликвидации отклонений от плановых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показателей в работе логистической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системы и (или) ее 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элементов;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показателей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функционирования логистической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системы и ее отдельных элементов;</w:t>
            </w:r>
          </w:p>
          <w:p w14:paraId="7EC8814E" w14:textId="39CCB7A7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разрабатывать и 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различных стадиях логистического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процесса;</w:t>
            </w:r>
          </w:p>
          <w:p w14:paraId="027828CF" w14:textId="2EF3EB82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анализировать показатели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 и 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в разработке мероприятий по</w:t>
            </w:r>
          </w:p>
          <w:p w14:paraId="1D825F74" w14:textId="5E9EA681" w:rsidR="00356398" w:rsidRPr="000244DA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повышению ее эффективности;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94B10B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39223FF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0608199" w14:textId="37F8E221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58A433" w14:textId="1F7A4641" w:rsidR="00885B66" w:rsidRPr="0070590D" w:rsidRDefault="00D53911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09FF54B" w14:textId="32060CC5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307EB1E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B9E7AC7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E5FD58" w14:textId="77777777" w:rsidR="00885B66" w:rsidRPr="00764773" w:rsidRDefault="00885B66" w:rsidP="00D6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DD54DA9" w14:textId="52CAADEC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оговор на транспортно-экспедиторское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Российские и международные законы и нормативные акты,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относящиеся к транспортно-экспедиционной деятельности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необходимом для выполнения служебных обязанностей объеме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08EAEA" w14:textId="637E81E4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и порядок оформления транспортно-сопроводительных,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 на различные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28FD7C" w14:textId="258B5CCA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еречень документов, необходимых для организации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CC6BDA" w14:textId="464F2F03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оформления договоров, дополнительных соглашений,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приложений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525ABE" w14:textId="4BBDCC6F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орядок согласования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700EFB" w14:textId="0FF76EA6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орпоративный документооборот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FB727F" w14:textId="00A57319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оформления финансовых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8F52C0" w14:textId="46F890BD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и порядок оформления транспортно-сопроводительных,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D90207" w14:textId="5CA13D87" w:rsidR="00D53911" w:rsidRPr="000244DA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оказания услуг курьерской службой и экспресс-почтой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52FA94D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A29FDC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B263786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5A5A2A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AB0A920" w14:textId="141FF0D4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равильно оформлять документацию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требованиями законодательства Российской Федерации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международных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CA345B" w14:textId="411E7D4F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ринимать и проверять документы, необходимые для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грузов, на правильность и полноту заявляемых сведений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наличие сопроводительных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7D35D5" w14:textId="5AB7A536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оставлять компетентный запрос клиенту на получение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документов для организации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807AAA" w14:textId="7433FCBC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с различными видами транспортно-сопроводительных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7AEAFF" w14:textId="2FD86186" w:rsidR="00885B66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формлять документы в полном соответствии с правилами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порядком оформления транспортно-сопроводительных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94BDB9" w14:textId="2EB9F6A3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тправлять и принимать разнообразные документы по</w:t>
            </w:r>
          </w:p>
          <w:p w14:paraId="433F6ABA" w14:textId="2F3794DF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электронной и обычной почте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EE399C" w14:textId="45AEC010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в различных корпоративных информационных системах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24FFEC" w14:textId="596A9727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с различными финансовыми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2CD763" w14:textId="7EA8FF44" w:rsidR="00D53911" w:rsidRPr="000244DA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ести документооборот в рамках выполнения служебных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4FC448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25DCEBB3" w:rsid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74B014E" w14:textId="77777777" w:rsidR="0063038D" w:rsidRPr="00E579D6" w:rsidRDefault="0063038D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0590D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929" w:type="pct"/>
        <w:jc w:val="center"/>
        <w:tblLayout w:type="fixed"/>
        <w:tblLook w:val="04A0" w:firstRow="1" w:lastRow="0" w:firstColumn="1" w:lastColumn="0" w:noHBand="0" w:noVBand="1"/>
      </w:tblPr>
      <w:tblGrid>
        <w:gridCol w:w="3124"/>
        <w:gridCol w:w="270"/>
        <w:gridCol w:w="1006"/>
        <w:gridCol w:w="997"/>
        <w:gridCol w:w="1133"/>
        <w:gridCol w:w="997"/>
        <w:gridCol w:w="1965"/>
      </w:tblGrid>
      <w:tr w:rsidR="007A0DFF" w:rsidRPr="007A0DFF" w14:paraId="0A2AADAC" w14:textId="77777777" w:rsidTr="00FB032A">
        <w:trPr>
          <w:trHeight w:val="1538"/>
          <w:jc w:val="center"/>
        </w:trPr>
        <w:tc>
          <w:tcPr>
            <w:tcW w:w="1646" w:type="pct"/>
            <w:shd w:val="clear" w:color="auto" w:fill="92D050"/>
          </w:tcPr>
          <w:p w14:paraId="78D6C5B8" w14:textId="77777777" w:rsidR="007A0DFF" w:rsidRPr="007A0DFF" w:rsidRDefault="007A0DFF" w:rsidP="00C17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9" w:type="pct"/>
            <w:gridSpan w:val="5"/>
            <w:shd w:val="clear" w:color="auto" w:fill="92D050"/>
            <w:vAlign w:val="center"/>
          </w:tcPr>
          <w:p w14:paraId="07D5AA59" w14:textId="2D217D75" w:rsidR="007A0DFF" w:rsidRPr="007A0DFF" w:rsidRDefault="007A0DFF" w:rsidP="00C17B0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35" w:type="pct"/>
            <w:shd w:val="clear" w:color="auto" w:fill="92D050"/>
            <w:vAlign w:val="center"/>
          </w:tcPr>
          <w:p w14:paraId="2AF4BE06" w14:textId="43F17F2B" w:rsidR="007A0DFF" w:rsidRPr="007A0DFF" w:rsidRDefault="007A0DFF" w:rsidP="00C17B0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FB032A" w:rsidRPr="007A0DFF" w14:paraId="6EDBED15" w14:textId="77777777" w:rsidTr="00FB032A">
        <w:trPr>
          <w:trHeight w:val="50"/>
          <w:jc w:val="center"/>
        </w:trPr>
        <w:tc>
          <w:tcPr>
            <w:tcW w:w="1646" w:type="pct"/>
            <w:vMerge w:val="restart"/>
            <w:shd w:val="clear" w:color="auto" w:fill="92D050"/>
            <w:vAlign w:val="center"/>
          </w:tcPr>
          <w:p w14:paraId="22554985" w14:textId="0EDAD76E" w:rsidR="00FB032A" w:rsidRPr="007A0DFF" w:rsidRDefault="00FB032A" w:rsidP="003242E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14:paraId="3CF24956" w14:textId="77777777" w:rsidR="00FB032A" w:rsidRPr="007A0DFF" w:rsidRDefault="00FB032A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00B050"/>
            <w:vAlign w:val="center"/>
          </w:tcPr>
          <w:p w14:paraId="35F42FCD" w14:textId="77777777" w:rsidR="00FB032A" w:rsidRPr="007A0DFF" w:rsidRDefault="00FB032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25" w:type="pct"/>
            <w:shd w:val="clear" w:color="auto" w:fill="00B050"/>
            <w:vAlign w:val="center"/>
          </w:tcPr>
          <w:p w14:paraId="73DA90DA" w14:textId="11265A4A" w:rsidR="00FB032A" w:rsidRPr="007A0DFF" w:rsidRDefault="00FB032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97" w:type="pct"/>
            <w:shd w:val="clear" w:color="auto" w:fill="00B050"/>
            <w:vAlign w:val="center"/>
          </w:tcPr>
          <w:p w14:paraId="22F4030B" w14:textId="447655FE" w:rsidR="00FB032A" w:rsidRPr="007A0DFF" w:rsidRDefault="00FB032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25" w:type="pct"/>
            <w:shd w:val="clear" w:color="auto" w:fill="00B050"/>
            <w:vAlign w:val="center"/>
          </w:tcPr>
          <w:p w14:paraId="06257C9D" w14:textId="6349D297" w:rsidR="00FB032A" w:rsidRPr="007A0DFF" w:rsidRDefault="00FB032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35" w:type="pct"/>
            <w:shd w:val="clear" w:color="auto" w:fill="00B050"/>
            <w:vAlign w:val="center"/>
          </w:tcPr>
          <w:p w14:paraId="089247DF" w14:textId="77777777" w:rsidR="00FB032A" w:rsidRPr="007A0DFF" w:rsidRDefault="00FB032A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FB032A" w:rsidRPr="007A0DFF" w14:paraId="61D77BE1" w14:textId="77777777" w:rsidTr="00FB032A">
        <w:trPr>
          <w:trHeight w:val="50"/>
          <w:jc w:val="center"/>
        </w:trPr>
        <w:tc>
          <w:tcPr>
            <w:tcW w:w="1646" w:type="pct"/>
            <w:vMerge/>
            <w:shd w:val="clear" w:color="auto" w:fill="92D050"/>
            <w:vAlign w:val="center"/>
          </w:tcPr>
          <w:p w14:paraId="06232BE1" w14:textId="77777777" w:rsidR="00FB032A" w:rsidRPr="007A0DFF" w:rsidRDefault="00FB032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0E5703EC" w14:textId="77777777" w:rsidR="00FB032A" w:rsidRPr="007A0DFF" w:rsidRDefault="00FB032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30" w:type="pct"/>
            <w:vAlign w:val="center"/>
          </w:tcPr>
          <w:p w14:paraId="3B3E3C84" w14:textId="424B0D07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14:paraId="5DA46E3D" w14:textId="2A0F87E4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082615A5" w14:textId="78935FEC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525" w:type="pct"/>
            <w:vAlign w:val="center"/>
          </w:tcPr>
          <w:p w14:paraId="38191B9B" w14:textId="525CF1D9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712CE198" w14:textId="3310DFA2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B032A" w:rsidRPr="007A0DFF" w14:paraId="4EB85C79" w14:textId="77777777" w:rsidTr="00FB032A">
        <w:trPr>
          <w:trHeight w:val="50"/>
          <w:jc w:val="center"/>
        </w:trPr>
        <w:tc>
          <w:tcPr>
            <w:tcW w:w="1646" w:type="pct"/>
            <w:vMerge/>
            <w:shd w:val="clear" w:color="auto" w:fill="92D050"/>
            <w:vAlign w:val="center"/>
          </w:tcPr>
          <w:p w14:paraId="22B843BA" w14:textId="77777777" w:rsidR="00FB032A" w:rsidRPr="007A0DFF" w:rsidRDefault="00FB032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120AFA02" w14:textId="77777777" w:rsidR="00FB032A" w:rsidRPr="007A0DFF" w:rsidRDefault="00FB032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30" w:type="pct"/>
            <w:vAlign w:val="center"/>
          </w:tcPr>
          <w:p w14:paraId="4A25E47C" w14:textId="52B6F590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5" w:type="pct"/>
            <w:vAlign w:val="center"/>
          </w:tcPr>
          <w:p w14:paraId="2ABB4702" w14:textId="77777777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6D9FE905" w14:textId="5A4AB1EA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14:paraId="2ABB6818" w14:textId="77777777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6E5BB194" w14:textId="7A2A89AC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B032A" w:rsidRPr="007A0DFF" w14:paraId="270858FE" w14:textId="77777777" w:rsidTr="00FB032A">
        <w:trPr>
          <w:trHeight w:val="50"/>
          <w:jc w:val="center"/>
        </w:trPr>
        <w:tc>
          <w:tcPr>
            <w:tcW w:w="1646" w:type="pct"/>
            <w:vMerge/>
            <w:shd w:val="clear" w:color="auto" w:fill="92D050"/>
            <w:vAlign w:val="center"/>
          </w:tcPr>
          <w:p w14:paraId="11C06268" w14:textId="77777777" w:rsidR="00FB032A" w:rsidRPr="007A0DFF" w:rsidRDefault="00FB032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1C8BD818" w14:textId="77777777" w:rsidR="00FB032A" w:rsidRPr="007A0DFF" w:rsidRDefault="00FB032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30" w:type="pct"/>
            <w:vAlign w:val="center"/>
          </w:tcPr>
          <w:p w14:paraId="3BEDDFEB" w14:textId="77777777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14:paraId="2FB413FD" w14:textId="7568F2E3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597" w:type="pct"/>
            <w:vAlign w:val="center"/>
          </w:tcPr>
          <w:p w14:paraId="2A6F8DAE" w14:textId="43680C30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14:paraId="149B0B9A" w14:textId="465D604E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35C37911" w14:textId="28F66983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</w:tr>
      <w:tr w:rsidR="00FB032A" w:rsidRPr="007A0DFF" w14:paraId="729DCFA9" w14:textId="77777777" w:rsidTr="00FB032A">
        <w:trPr>
          <w:trHeight w:val="50"/>
          <w:jc w:val="center"/>
        </w:trPr>
        <w:tc>
          <w:tcPr>
            <w:tcW w:w="1646" w:type="pct"/>
            <w:vMerge/>
            <w:shd w:val="clear" w:color="auto" w:fill="92D050"/>
            <w:vAlign w:val="center"/>
          </w:tcPr>
          <w:p w14:paraId="064ADD9F" w14:textId="77777777" w:rsidR="00FB032A" w:rsidRPr="007A0DFF" w:rsidRDefault="00FB032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0124CBF9" w14:textId="77777777" w:rsidR="00FB032A" w:rsidRPr="007A0DFF" w:rsidRDefault="00FB032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30" w:type="pct"/>
            <w:vAlign w:val="center"/>
          </w:tcPr>
          <w:p w14:paraId="7BB1AD33" w14:textId="3E152DE4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14:paraId="6A4E8200" w14:textId="77777777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60DE24C5" w14:textId="7C6426BC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14:paraId="4535938D" w14:textId="77777777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5CA64B26" w14:textId="431D5168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B032A" w:rsidRPr="007A0DFF" w14:paraId="22BB9E7A" w14:textId="77777777" w:rsidTr="00FB032A">
        <w:trPr>
          <w:trHeight w:val="50"/>
          <w:jc w:val="center"/>
        </w:trPr>
        <w:tc>
          <w:tcPr>
            <w:tcW w:w="1646" w:type="pct"/>
            <w:vMerge/>
            <w:shd w:val="clear" w:color="auto" w:fill="92D050"/>
            <w:vAlign w:val="center"/>
          </w:tcPr>
          <w:p w14:paraId="2B3484F3" w14:textId="77777777" w:rsidR="00FB032A" w:rsidRPr="007A0DFF" w:rsidRDefault="00FB032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18DD302D" w14:textId="77777777" w:rsidR="00FB032A" w:rsidRPr="007A0DFF" w:rsidRDefault="00FB032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30" w:type="pct"/>
            <w:vAlign w:val="center"/>
          </w:tcPr>
          <w:p w14:paraId="788DF647" w14:textId="470B454E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525" w:type="pct"/>
            <w:vAlign w:val="center"/>
          </w:tcPr>
          <w:p w14:paraId="792DEA04" w14:textId="7672D1CA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597" w:type="pct"/>
            <w:vAlign w:val="center"/>
          </w:tcPr>
          <w:p w14:paraId="71778EC4" w14:textId="10AAEF48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525" w:type="pct"/>
            <w:vAlign w:val="center"/>
          </w:tcPr>
          <w:p w14:paraId="12ACE406" w14:textId="08AA5B80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4A57BB5C" w14:textId="0384E727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14,95</w:t>
            </w:r>
          </w:p>
        </w:tc>
      </w:tr>
      <w:tr w:rsidR="00FB032A" w:rsidRPr="007A0DFF" w14:paraId="78D47C38" w14:textId="77777777" w:rsidTr="00FB032A">
        <w:trPr>
          <w:trHeight w:val="50"/>
          <w:jc w:val="center"/>
        </w:trPr>
        <w:tc>
          <w:tcPr>
            <w:tcW w:w="1646" w:type="pct"/>
            <w:vMerge/>
            <w:shd w:val="clear" w:color="auto" w:fill="92D050"/>
            <w:vAlign w:val="center"/>
          </w:tcPr>
          <w:p w14:paraId="12BB70EF" w14:textId="77777777" w:rsidR="00FB032A" w:rsidRPr="007A0DFF" w:rsidRDefault="00FB032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3BE846A8" w14:textId="77777777" w:rsidR="00FB032A" w:rsidRPr="007A0DFF" w:rsidRDefault="00FB032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30" w:type="pct"/>
            <w:vAlign w:val="center"/>
          </w:tcPr>
          <w:p w14:paraId="58EB7FF5" w14:textId="29D57038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5" w:type="pct"/>
            <w:vAlign w:val="center"/>
          </w:tcPr>
          <w:p w14:paraId="5D98CD8B" w14:textId="71658F04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4A122AC8" w14:textId="77777777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14:paraId="360019F7" w14:textId="6847786A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3CF75DC1" w14:textId="6BA4F268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FB032A" w:rsidRPr="007A0DFF" w14:paraId="104B3A32" w14:textId="77777777" w:rsidTr="00FB032A">
        <w:trPr>
          <w:trHeight w:val="50"/>
          <w:jc w:val="center"/>
        </w:trPr>
        <w:tc>
          <w:tcPr>
            <w:tcW w:w="1646" w:type="pct"/>
            <w:vMerge/>
            <w:shd w:val="clear" w:color="auto" w:fill="92D050"/>
            <w:vAlign w:val="center"/>
          </w:tcPr>
          <w:p w14:paraId="02836410" w14:textId="77777777" w:rsidR="00FB032A" w:rsidRPr="007A0DFF" w:rsidRDefault="00FB032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14:paraId="05A276F5" w14:textId="5BBDB79A" w:rsidR="00FB032A" w:rsidRPr="007A0DFF" w:rsidRDefault="00FB032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30" w:type="pct"/>
            <w:vAlign w:val="center"/>
          </w:tcPr>
          <w:p w14:paraId="44BA50E0" w14:textId="082052FF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525" w:type="pct"/>
            <w:vAlign w:val="center"/>
          </w:tcPr>
          <w:p w14:paraId="3ABD70DD" w14:textId="752DAFC4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597" w:type="pct"/>
            <w:vAlign w:val="center"/>
          </w:tcPr>
          <w:p w14:paraId="109FB47E" w14:textId="77777777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14:paraId="59DBEFF5" w14:textId="74BCE9DC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48FC40B5" w14:textId="07CE271D" w:rsidR="00FB032A" w:rsidRPr="007A0DFF" w:rsidRDefault="00FB032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FB032A" w:rsidRPr="007A0DFF" w14:paraId="7A651F98" w14:textId="77777777" w:rsidTr="00FB032A">
        <w:trPr>
          <w:trHeight w:val="50"/>
          <w:jc w:val="center"/>
        </w:trPr>
        <w:tc>
          <w:tcPr>
            <w:tcW w:w="1788" w:type="pct"/>
            <w:gridSpan w:val="2"/>
            <w:shd w:val="clear" w:color="auto" w:fill="00B050"/>
            <w:vAlign w:val="center"/>
          </w:tcPr>
          <w:p w14:paraId="031BF5E1" w14:textId="36D478B4" w:rsidR="00FB032A" w:rsidRPr="007A0DFF" w:rsidRDefault="00FB032A" w:rsidP="007274B8">
            <w:pPr>
              <w:jc w:val="center"/>
              <w:rPr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62B470B5" w14:textId="243B158E" w:rsidR="00FB032A" w:rsidRPr="007A0DFF" w:rsidRDefault="00FB032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3F54C3E5" w14:textId="65926311" w:rsidR="00FB032A" w:rsidRPr="007A0DFF" w:rsidRDefault="00FB032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31EC0780" w14:textId="1C02181A" w:rsidR="00FB032A" w:rsidRPr="007A0DFF" w:rsidRDefault="00FB032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46E89523" w14:textId="4C173886" w:rsidR="00FB032A" w:rsidRPr="007A0DFF" w:rsidRDefault="00FB032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5" w:type="pct"/>
            <w:shd w:val="clear" w:color="auto" w:fill="F2F2F2" w:themeFill="background1" w:themeFillShade="F2"/>
            <w:vAlign w:val="center"/>
          </w:tcPr>
          <w:p w14:paraId="5498864D" w14:textId="65019C02" w:rsidR="00FB032A" w:rsidRPr="007A0DFF" w:rsidRDefault="00FB032A" w:rsidP="00727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  <w:bookmarkStart w:id="9" w:name="_GoBack"/>
      <w:bookmarkEnd w:id="9"/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F01F5FA" w:rsidR="00437D28" w:rsidRPr="004904C5" w:rsidRDefault="00F4250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автомобильным транспортом</w:t>
            </w:r>
          </w:p>
        </w:tc>
        <w:tc>
          <w:tcPr>
            <w:tcW w:w="3149" w:type="pct"/>
            <w:shd w:val="clear" w:color="auto" w:fill="auto"/>
          </w:tcPr>
          <w:p w14:paraId="360B4BE2" w14:textId="55688242" w:rsidR="00437D28" w:rsidRPr="009D04EE" w:rsidRDefault="007F186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>; подготовка и оформление транспортных документов, в т.ч. международных; консультирование клиента в письменной/устной форме</w:t>
            </w:r>
          </w:p>
        </w:tc>
      </w:tr>
      <w:tr w:rsidR="007F1861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445A169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авиационным транспортом</w:t>
            </w:r>
          </w:p>
        </w:tc>
        <w:tc>
          <w:tcPr>
            <w:tcW w:w="3149" w:type="pct"/>
            <w:shd w:val="clear" w:color="auto" w:fill="auto"/>
          </w:tcPr>
          <w:p w14:paraId="03F2F467" w14:textId="030576EE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A886240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перевозки грузов </w:t>
            </w:r>
            <w:proofErr w:type="gramStart"/>
            <w:r>
              <w:rPr>
                <w:b/>
                <w:sz w:val="24"/>
                <w:szCs w:val="24"/>
              </w:rPr>
              <w:t>железнодорожным  транспортом</w:t>
            </w:r>
            <w:proofErr w:type="gramEnd"/>
          </w:p>
        </w:tc>
        <w:tc>
          <w:tcPr>
            <w:tcW w:w="3149" w:type="pct"/>
            <w:shd w:val="clear" w:color="auto" w:fill="auto"/>
          </w:tcPr>
          <w:p w14:paraId="52821F30" w14:textId="424093C1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511295A1" w:rsidR="007F1861" w:rsidRPr="004904C5" w:rsidRDefault="00E34D04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D04">
              <w:rPr>
                <w:b/>
                <w:sz w:val="24"/>
                <w:szCs w:val="24"/>
              </w:rPr>
              <w:t>Организация грузовых перевозок морским и внутренним водным транспортом</w:t>
            </w:r>
          </w:p>
        </w:tc>
        <w:tc>
          <w:tcPr>
            <w:tcW w:w="3149" w:type="pct"/>
            <w:shd w:val="clear" w:color="auto" w:fill="auto"/>
          </w:tcPr>
          <w:p w14:paraId="387950E5" w14:textId="4738FF86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7777777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17A0148D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F016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0280A901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425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F425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7E9A6041" w:rsid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B03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4B46" w:rsidRP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А, Б, В, Г)</w:t>
      </w:r>
      <w:r w:rsidR="00FB0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баллов конкурсного задания составляет </w:t>
      </w:r>
      <w:r w:rsidR="00FB03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14:paraId="2B1111D9" w14:textId="3580FAD3" w:rsidR="008C41F7" w:rsidRP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433375DD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283D8783" w14:textId="2D370674" w:rsidR="00700755" w:rsidRPr="00640E46" w:rsidRDefault="00C1591E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700755" w:rsidRPr="00EB414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https://disk.yandex.ru/i/uICRv671KvgLWA</w:t>
        </w:r>
      </w:hyperlink>
      <w:r w:rsidR="00700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73C0E423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history="1">
        <w:r w:rsidRPr="0070075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70075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70075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06418B25" w14:textId="72D32ABD"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782430C5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автомобильным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46BB9A5" w14:textId="50B5D925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я 3 часа</w:t>
      </w:r>
    </w:p>
    <w:p w14:paraId="1AD91FEA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DA50DB1" w14:textId="215E771F" w:rsidR="00730AE0" w:rsidRDefault="009D59DA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Вы – специалист по транспортной логистике транспортно-экспедиторской компании “Стрела”. В область Вашего функционала входит организация перевозок автомобильным транспортом, а именно проверка правильности оформления документов; формирование комплекта транспортно-сопроводительных, транспортно-экспедиционных документов для передачи клиенту; получение и анализ информации о планируемых мероприятиях по приемке и отправке грузов, их периодичности, количественных характеристиках; составление графиков грузопотоков, определение способов доставки, вида транспорта; расчет стоимости доставки.</w:t>
      </w:r>
    </w:p>
    <w:p w14:paraId="356D0058" w14:textId="6B1D4EAA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Ваш прямой руководитель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поручил Вам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 основании заявки от клиента на авто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мобильную доставку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груза (Приложение 1) расчитать стоимость авто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мобильной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перевозки, используя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предлагаемые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характеристики транспорта (Приложение 2) и действующие тарифы на перевозку (Приложение 3). Информацию о предлагаемом транспорте (с обоснованием выбора варианта перевозки), стоимости, необходимых документах и сроках доставки направьте клиенту на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используя правила общения по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31B30F5B" w14:textId="77777777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основании имеющейся информации, подготовьте сопроводительную документацию для отправки груза – ТТН (Приложение 4). При необходимости запросите недостающие данные у клиента по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используя правила общения по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3D60D24D" w14:textId="00006403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Учитывая сроки рассчитанной авто</w:t>
      </w:r>
      <w:r w:rsidR="002A65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мобильной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перевозки, используя дополнительную информацию о возможных автоперевозках из базы компании (Приложение 5), подберите обратную авто</w:t>
      </w:r>
      <w:r w:rsidR="002A65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мобильную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перевозку.</w:t>
      </w:r>
    </w:p>
    <w:p w14:paraId="4670AF4F" w14:textId="77777777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ответном письме руководителю укажите полную информацию по двум запланированным автоперевозкам, затраты и итоговую прибыль за них. Для расчета воспользуйтесь данными о возможных затратах (Приложение 6).</w:t>
      </w:r>
    </w:p>
    <w:p w14:paraId="6AB2F557" w14:textId="77777777" w:rsidR="009D59DA" w:rsidRPr="00C97E44" w:rsidRDefault="009D59DA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58010533" w:rsidR="00730AE0" w:rsidRPr="00C97E44" w:rsidRDefault="00730AE0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авиационным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10C29A71" w14:textId="5986BC9B" w:rsidR="00730AE0" w:rsidRPr="00C97E44" w:rsidRDefault="00730AE0" w:rsidP="002E6A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59960528" w14:textId="77777777" w:rsidR="009D59DA" w:rsidRDefault="00730AE0" w:rsidP="002E6A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6C4425E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Задачи специалиста по логистике на авиационном транспорте обширны и должны решаться комплексно. </w:t>
      </w:r>
    </w:p>
    <w:p w14:paraId="0232DDA1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Компетентность специалиста включает в себя знания в области ВЭД и умение рассчитывать и предоставлять клиентам коммерческие предложения в соответствии с их потребностями и условиями перевозки, подготовку договоров-заявок стандартной формы, принятой в компании, навыки оформления международных транспортных документов и анализ качества сервиса.</w:t>
      </w:r>
    </w:p>
    <w:p w14:paraId="746D15EB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Каждый этап доставки связан с коммуникацией как с клиентом, так и с коллегами. Соответственно специалисты должны в полной мере обладать навыками устной и письменной деловой коммуникации.</w:t>
      </w:r>
    </w:p>
    <w:p w14:paraId="17EECD90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В процессе перевозки происходит работа с оперативным сотрудником из зарубежного офиса в стране отправления или назначения в зависимости от вида доставки - импорт или экспорт, общаетесь с клиентом, коллегами в стране отправления/назначения и коллегами из офиса в России. В ходе доставки вы обмениваетесь информацией и документами для организации международной авиаперевозки.</w:t>
      </w:r>
    </w:p>
    <w:p w14:paraId="3F50DB2A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Вы – специалист по транспортной логистике транспортно-экспедиторской компании “</w:t>
      </w:r>
      <w:proofErr w:type="spellStart"/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КаргоТранзит</w:t>
      </w:r>
      <w:proofErr w:type="spellEnd"/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”. От вашего руководителя вы получили запрос на расчет стоимости услуг от потенциального клиента. </w:t>
      </w:r>
    </w:p>
    <w:p w14:paraId="1BF4A989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418A6FE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Ознакомиться с запросом (Приложение 1, 2, 3, 4, 5, 6, 7, 8), выявить/конкретизировать намерения и потребности клиента, уточнить все необходимые вопросов (в контексте моделируемой ситуации), чтобы получить как можно больше информации для обработки запроса, используя всю полученную информацию, отправить электронное письмо данному клиенту с целью подтверждения получение запроса и начала его обработки (Приложение 9).</w:t>
      </w:r>
    </w:p>
    <w:p w14:paraId="10CB16EC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2.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Рассчитать стоимость услуг в соответствии с тарифами компании (Приложение 10) и оформить расчет на специальном бланке (Приложение 11), согласовать коммерческое предложение.</w:t>
      </w:r>
    </w:p>
    <w:p w14:paraId="5A3B1B7F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Подготовить договор-заявки на основании шаблона (Приложение 12), используя информацию из коммерческих документов от клиента и согласованное коммерческое предложение, справочную информацию о клиенте и исполнителе (Приложение 13, 14) и реестра договоров компании (Приложение 15).</w:t>
      </w:r>
    </w:p>
    <w:p w14:paraId="289AC715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Согласовать даты приёма груза с отправителем, бронирование рейса и используя шаблоны (Приложение 16), заполнить AWB, на основании актуализированных коммерческих документов.</w:t>
      </w:r>
    </w:p>
    <w:p w14:paraId="54D43257" w14:textId="77777777" w:rsidR="00262B47" w:rsidRPr="00262B47" w:rsidRDefault="00262B47" w:rsidP="007059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14:paraId="6E319CE1" w14:textId="26D8892F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железнодорожным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05C521D" w14:textId="683E81C4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000AFD8B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3CC60E0" w14:textId="11F94F18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Вы являетесь ассистентом отдела железнодорожных перевозок операционного департамента экспедиционной компании «</w:t>
      </w:r>
      <w:proofErr w:type="spellStart"/>
      <w:r w:rsidR="00AE5D2C">
        <w:rPr>
          <w:rFonts w:ascii="Times New Roman" w:eastAsia="Times New Roman" w:hAnsi="Times New Roman" w:cs="Times New Roman"/>
          <w:bCs/>
          <w:i/>
          <w:sz w:val="28"/>
          <w:szCs w:val="28"/>
        </w:rPr>
        <w:t>ТрансКонтейнер</w:t>
      </w:r>
      <w:proofErr w:type="spellEnd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». В зону вашей функциональной ответственности входит: поддержание необходимой коммуникации с клиентом, запрос у клиента информации для организации перевозки, составление и согласование коммерческого предложения, формирование комплекта транспортно-сопроводительных, транспортно-экспедиционных документов на перевозку и т.д. Форма коммуникации с клиентом может быть организована как в электронном (e-</w:t>
      </w:r>
      <w:proofErr w:type="spellStart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mail</w:t>
      </w:r>
      <w:proofErr w:type="spellEnd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), так и устной форме.</w:t>
      </w:r>
    </w:p>
    <w:p w14:paraId="14835FFE" w14:textId="123DC5E4" w:rsidR="00730AE0" w:rsidRPr="00AE5D2C" w:rsidRDefault="009D59DA" w:rsidP="005E20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Ознакомиться с запросом клиента (Приложение 1), выполнить расчет количества подвижного состава необходимого для перевозки груза. Используя Тарифные приложения (Приложения 2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3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 также Прейскурант №10-01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выполнить расчет параметров коммерческого приложения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). Заполнить железнодорожную транспортную накладную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и форму заявки на перевозку грузов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14:paraId="5909693D" w14:textId="77777777" w:rsidR="005E207D" w:rsidRDefault="005E207D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124943245"/>
    </w:p>
    <w:p w14:paraId="0F065F54" w14:textId="66DD761F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D5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грузовых перевозок морским и внутренним водным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283DB02" w14:textId="16B96BC1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3844EEF5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bookmarkEnd w:id="11"/>
    <w:p w14:paraId="5D059ED8" w14:textId="77777777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 – специалист операционного отдела крупной Российской транспортно-экспедиторской компании ООО «Деловые линии».  В область Вашего функционала входит организация международных и каботажных </w:t>
      </w: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грузовых перевозок морским и внутренним водным видом транспорта, в том числе взаимодействие с подрядчиками по части организации международных грузоперевозок: сбор и подготовка комплекта документов, необходимых для осуществления перевозки, оформление перевозочных документов, применяемых на водном транспорте, а также работа с транспортной документацией других видов транспорта для оперативного управления смешанными перевозками.</w:t>
      </w:r>
    </w:p>
    <w:p w14:paraId="227616E2" w14:textId="77777777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г. Пермь, РФ доставлена партия опасного груза железнодорожным транспортом, следующего транзитом в порт </w:t>
      </w:r>
      <w:proofErr w:type="spellStart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Энзели</w:t>
      </w:r>
      <w:proofErr w:type="spellEnd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, Иран с перевалкой на морской транспорт в порту г. Астрахань, РФ.</w:t>
      </w:r>
    </w:p>
    <w:p w14:paraId="2758A861" w14:textId="28557250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На основании FIATA FFI (Приложение</w:t>
      </w:r>
      <w:r w:rsidR="00EC5B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</w:t>
      </w: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) и Правилами МОПОГ (Приложени</w:t>
      </w:r>
      <w:r w:rsidR="00EC5B98">
        <w:rPr>
          <w:rFonts w:ascii="Times New Roman" w:eastAsia="Times New Roman" w:hAnsi="Times New Roman" w:cs="Times New Roman"/>
          <w:bCs/>
          <w:i/>
          <w:sz w:val="28"/>
          <w:szCs w:val="28"/>
        </w:rPr>
        <w:t>я 2 и 3</w:t>
      </w: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) подготовьте приём экспортного опасного груза в морском порту:</w:t>
      </w:r>
    </w:p>
    <w:p w14:paraId="0F4067A2" w14:textId="6E0F140F" w:rsidR="009D59DA" w:rsidRPr="00AE5D2C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Заполните заявку (Приложение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 на перевозку опасного груза морским транспортом;</w:t>
      </w:r>
    </w:p>
    <w:p w14:paraId="34D475E3" w14:textId="0394D367" w:rsidR="009D59DA" w:rsidRPr="00AE5D2C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Согласно классу и номеру категории груза по классификационной таблице МОПОГ, заполните </w:t>
      </w:r>
      <w:r w:rsidR="00EC5B98"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таблицу по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карте технологического режима перевозки опасного груза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(Приложени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е 5</w:t>
      </w:r>
      <w:r w:rsidR="00EC5B98"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3427CC14" w14:textId="6798A274" w:rsidR="00730AE0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Оформите документально экспортный груз в морском порту: заполните грузовую декларация на опасный груз (Приложение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), драфт коносамента чартерной перевозки (B/L)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(Приложение 8)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, поручение на погрузку (Приложение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5F7F117B" w14:textId="77777777" w:rsidR="00AE5D2C" w:rsidRPr="00AE5D2C" w:rsidRDefault="00AE5D2C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8B6497F" w14:textId="1B669E00" w:rsidR="00D17132" w:rsidRPr="00D17132" w:rsidRDefault="0060658F" w:rsidP="0070590D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2" w:name="_Toc78885643"/>
      <w:bookmarkStart w:id="13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2"/>
      <w:bookmarkEnd w:id="13"/>
    </w:p>
    <w:p w14:paraId="338B9A73" w14:textId="35165038" w:rsidR="00D17132" w:rsidRDefault="00BB7899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рабочих мест на конкурсной площадке должно строго соответствовать количеству аккредитованных участников чемпионата.</w:t>
      </w:r>
    </w:p>
    <w:p w14:paraId="34105407" w14:textId="3ED2E2AD" w:rsidR="00BB7899" w:rsidRDefault="00BB7899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случаях исключения (невыполнения) одного или нескольких модулей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14:paraId="3B4EEB07" w14:textId="541EF094" w:rsidR="00163888" w:rsidRDefault="00163888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к модулям конкурсного задания конкретного чемпионата разрабатываются экспертным сообществом компетенции и направляются главному эксперту в день С-1 менеджером компетенции по электронной почте.</w:t>
      </w:r>
    </w:p>
    <w:p w14:paraId="6AD0F918" w14:textId="77777777" w:rsidR="00EA30C6" w:rsidRPr="00F3099C" w:rsidRDefault="00EA30C6" w:rsidP="007059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1C3A96" w:rsidRDefault="00A11569" w:rsidP="000B128D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4" w:name="_Toc78885659"/>
      <w:bookmarkStart w:id="15" w:name="_Toc124422972"/>
      <w:r w:rsidRPr="001C3A96">
        <w:rPr>
          <w:rFonts w:ascii="Times New Roman" w:hAnsi="Times New Roman"/>
          <w:color w:val="000000"/>
          <w:szCs w:val="28"/>
        </w:rPr>
        <w:t>2</w:t>
      </w:r>
      <w:r w:rsidR="00FB022D" w:rsidRPr="001C3A96">
        <w:rPr>
          <w:rFonts w:ascii="Times New Roman" w:hAnsi="Times New Roman"/>
          <w:color w:val="000000"/>
          <w:szCs w:val="28"/>
        </w:rPr>
        <w:t>.</w:t>
      </w:r>
      <w:r w:rsidRPr="001C3A96">
        <w:rPr>
          <w:rFonts w:ascii="Times New Roman" w:hAnsi="Times New Roman"/>
          <w:color w:val="000000"/>
          <w:szCs w:val="28"/>
        </w:rPr>
        <w:t>1</w:t>
      </w:r>
      <w:r w:rsidR="00FB022D" w:rsidRPr="001C3A96">
        <w:rPr>
          <w:rFonts w:ascii="Times New Roman" w:hAnsi="Times New Roman"/>
          <w:color w:val="000000"/>
          <w:szCs w:val="28"/>
        </w:rPr>
        <w:t xml:space="preserve">. </w:t>
      </w:r>
      <w:bookmarkEnd w:id="14"/>
      <w:r w:rsidRPr="001C3A96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5"/>
    </w:p>
    <w:p w14:paraId="1CB61AAF" w14:textId="5AA0DDF5" w:rsidR="00E15F2A" w:rsidRPr="001C3A96" w:rsidRDefault="001C3A96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96">
        <w:rPr>
          <w:rFonts w:ascii="Times New Roman" w:eastAsia="Times New Roman" w:hAnsi="Times New Roman" w:cs="Times New Roman"/>
          <w:sz w:val="28"/>
          <w:szCs w:val="28"/>
        </w:rPr>
        <w:t xml:space="preserve">Конкурсант ничего не привозит с собой и использует оборудование, </w:t>
      </w:r>
      <w:proofErr w:type="gramStart"/>
      <w:r w:rsidRPr="001C3A96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расходные материалы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на конкурсной площадке</w:t>
      </w:r>
    </w:p>
    <w:p w14:paraId="112A6605" w14:textId="73692741" w:rsidR="00E15F2A" w:rsidRPr="001C3A96" w:rsidRDefault="00A11569" w:rsidP="0070590D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6" w:name="_Toc78885660"/>
      <w:r w:rsidRPr="001C3A9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2</w:t>
      </w:r>
      <w:r w:rsidR="00FB022D" w:rsidRPr="001C3A96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1C3A96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1C3A96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6"/>
    </w:p>
    <w:p w14:paraId="538D3EE9" w14:textId="75E4A893" w:rsidR="00E15F2A" w:rsidRPr="003732A7" w:rsidRDefault="000B128D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пользоваться телефонами, смартфонами, умными часами, проводными/беспроводными наушниками.</w:t>
      </w:r>
    </w:p>
    <w:p w14:paraId="03196394" w14:textId="5B970BBB" w:rsidR="00B37579" w:rsidRDefault="00A11569" w:rsidP="0070590D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7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7"/>
    </w:p>
    <w:p w14:paraId="229D45A2" w14:textId="668B14D8" w:rsidR="00945E13" w:rsidRDefault="00C1591E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08EEFDE3" w:rsidR="00B37579" w:rsidRDefault="00C1591E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0A8A0DB8" w:rsidR="00B37579" w:rsidRDefault="00C1591E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0ECB9838" w:rsidR="00B37579" w:rsidRDefault="00C1591E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74E5AE3D" w:rsidR="00B37579" w:rsidRDefault="00C1591E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4B0F9660" w:rsidR="00A27EE4" w:rsidRDefault="00C1591E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6</w:t>
        </w:r>
      </w:hyperlink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0B128D">
        <w:rPr>
          <w:rFonts w:ascii="Times New Roman" w:hAnsi="Times New Roman" w:cs="Times New Roman"/>
          <w:sz w:val="28"/>
          <w:szCs w:val="28"/>
        </w:rPr>
        <w:t>Экспедирование грузов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6CA24A48" w:rsidR="00B37579" w:rsidRDefault="00C1591E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 </w:t>
        </w:r>
        <w:r w:rsidR="0070590D" w:rsidRPr="00700755">
          <w:rPr>
            <w:rStyle w:val="ae"/>
            <w:rFonts w:ascii="Times New Roman" w:hAnsi="Times New Roman" w:cs="Times New Roman"/>
            <w:sz w:val="28"/>
            <w:szCs w:val="28"/>
          </w:rPr>
          <w:t>7</w:t>
        </w:r>
      </w:hyperlink>
      <w:r w:rsidR="0070590D">
        <w:rPr>
          <w:rFonts w:ascii="Times New Roman" w:hAnsi="Times New Roman" w:cs="Times New Roman"/>
          <w:sz w:val="28"/>
          <w:szCs w:val="28"/>
        </w:rPr>
        <w:t xml:space="preserve"> Исходные данные для выполнения модулей конкурсного задания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B65A4" w14:textId="10AE94E1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8B7E" w14:textId="77777777" w:rsidR="00C1591E" w:rsidRDefault="00C1591E" w:rsidP="00970F49">
      <w:pPr>
        <w:spacing w:after="0" w:line="240" w:lineRule="auto"/>
      </w:pPr>
      <w:r>
        <w:separator/>
      </w:r>
    </w:p>
  </w:endnote>
  <w:endnote w:type="continuationSeparator" w:id="0">
    <w:p w14:paraId="56052E96" w14:textId="77777777" w:rsidR="00C1591E" w:rsidRDefault="00C1591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B032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4DD47" w14:textId="77777777" w:rsidR="00C1591E" w:rsidRDefault="00C1591E" w:rsidP="00970F49">
      <w:pPr>
        <w:spacing w:after="0" w:line="240" w:lineRule="auto"/>
      </w:pPr>
      <w:r>
        <w:separator/>
      </w:r>
    </w:p>
  </w:footnote>
  <w:footnote w:type="continuationSeparator" w:id="0">
    <w:p w14:paraId="570B85F3" w14:textId="77777777" w:rsidR="00C1591E" w:rsidRDefault="00C1591E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A7"/>
    <w:multiLevelType w:val="hybridMultilevel"/>
    <w:tmpl w:val="B0DA3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02358E9"/>
    <w:multiLevelType w:val="multilevel"/>
    <w:tmpl w:val="41581E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4"/>
  </w:num>
  <w:num w:numId="23">
    <w:abstractNumId w:val="9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164A8"/>
    <w:rsid w:val="00021CCE"/>
    <w:rsid w:val="000244DA"/>
    <w:rsid w:val="00024F7D"/>
    <w:rsid w:val="00030BA5"/>
    <w:rsid w:val="00041A78"/>
    <w:rsid w:val="00056CDE"/>
    <w:rsid w:val="00067386"/>
    <w:rsid w:val="00081D65"/>
    <w:rsid w:val="000A1F96"/>
    <w:rsid w:val="000B128D"/>
    <w:rsid w:val="000B3397"/>
    <w:rsid w:val="000B55A2"/>
    <w:rsid w:val="000D258B"/>
    <w:rsid w:val="000D43CC"/>
    <w:rsid w:val="000D4C46"/>
    <w:rsid w:val="000D74AA"/>
    <w:rsid w:val="000F0FC3"/>
    <w:rsid w:val="000F7B36"/>
    <w:rsid w:val="001024BE"/>
    <w:rsid w:val="00114D79"/>
    <w:rsid w:val="00127743"/>
    <w:rsid w:val="0015561E"/>
    <w:rsid w:val="001627D5"/>
    <w:rsid w:val="00163888"/>
    <w:rsid w:val="0017612A"/>
    <w:rsid w:val="001C3A96"/>
    <w:rsid w:val="001C63E7"/>
    <w:rsid w:val="001C7EAC"/>
    <w:rsid w:val="001E1DF9"/>
    <w:rsid w:val="00205F36"/>
    <w:rsid w:val="00220E70"/>
    <w:rsid w:val="00237603"/>
    <w:rsid w:val="002623EB"/>
    <w:rsid w:val="00262B47"/>
    <w:rsid w:val="00266B6C"/>
    <w:rsid w:val="00270E01"/>
    <w:rsid w:val="002725AC"/>
    <w:rsid w:val="002776A1"/>
    <w:rsid w:val="0029547E"/>
    <w:rsid w:val="002A15FB"/>
    <w:rsid w:val="002A657B"/>
    <w:rsid w:val="002B1426"/>
    <w:rsid w:val="002E6AA5"/>
    <w:rsid w:val="002F2906"/>
    <w:rsid w:val="003242E1"/>
    <w:rsid w:val="00333911"/>
    <w:rsid w:val="00334165"/>
    <w:rsid w:val="003531E7"/>
    <w:rsid w:val="00356398"/>
    <w:rsid w:val="003601A4"/>
    <w:rsid w:val="0037535C"/>
    <w:rsid w:val="003934F8"/>
    <w:rsid w:val="00397A1B"/>
    <w:rsid w:val="003A21C8"/>
    <w:rsid w:val="003C1D7A"/>
    <w:rsid w:val="003C5F97"/>
    <w:rsid w:val="003D1E51"/>
    <w:rsid w:val="003D52B7"/>
    <w:rsid w:val="003F7D39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D2418"/>
    <w:rsid w:val="004D4B46"/>
    <w:rsid w:val="004E785E"/>
    <w:rsid w:val="004E7905"/>
    <w:rsid w:val="004F016C"/>
    <w:rsid w:val="005055FF"/>
    <w:rsid w:val="005062B0"/>
    <w:rsid w:val="00510059"/>
    <w:rsid w:val="00517303"/>
    <w:rsid w:val="00537932"/>
    <w:rsid w:val="005418A0"/>
    <w:rsid w:val="00554CBB"/>
    <w:rsid w:val="005560AC"/>
    <w:rsid w:val="0056194A"/>
    <w:rsid w:val="00565A72"/>
    <w:rsid w:val="00565B7C"/>
    <w:rsid w:val="005A1625"/>
    <w:rsid w:val="005B05D5"/>
    <w:rsid w:val="005B0DEC"/>
    <w:rsid w:val="005B66FC"/>
    <w:rsid w:val="005C6A23"/>
    <w:rsid w:val="005E207D"/>
    <w:rsid w:val="005E30DC"/>
    <w:rsid w:val="00605DD7"/>
    <w:rsid w:val="0060658F"/>
    <w:rsid w:val="00613219"/>
    <w:rsid w:val="0062789A"/>
    <w:rsid w:val="0063038D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E288B"/>
    <w:rsid w:val="006F4464"/>
    <w:rsid w:val="00700755"/>
    <w:rsid w:val="0070590D"/>
    <w:rsid w:val="00714CA4"/>
    <w:rsid w:val="00716ECC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0DFF"/>
    <w:rsid w:val="007A3461"/>
    <w:rsid w:val="007A61C5"/>
    <w:rsid w:val="007A6888"/>
    <w:rsid w:val="007B0DCC"/>
    <w:rsid w:val="007B2222"/>
    <w:rsid w:val="007B3FD5"/>
    <w:rsid w:val="007D3601"/>
    <w:rsid w:val="007D6C20"/>
    <w:rsid w:val="007E73B4"/>
    <w:rsid w:val="007F1861"/>
    <w:rsid w:val="00805BB2"/>
    <w:rsid w:val="00812516"/>
    <w:rsid w:val="00832EBB"/>
    <w:rsid w:val="00834734"/>
    <w:rsid w:val="00835BF6"/>
    <w:rsid w:val="008761F3"/>
    <w:rsid w:val="00881DD2"/>
    <w:rsid w:val="00882B54"/>
    <w:rsid w:val="00885B66"/>
    <w:rsid w:val="008912AE"/>
    <w:rsid w:val="008B0A56"/>
    <w:rsid w:val="008B0F23"/>
    <w:rsid w:val="008B560B"/>
    <w:rsid w:val="008C41F7"/>
    <w:rsid w:val="008D6DCF"/>
    <w:rsid w:val="008E5424"/>
    <w:rsid w:val="00901689"/>
    <w:rsid w:val="009018F0"/>
    <w:rsid w:val="00906E82"/>
    <w:rsid w:val="009145D4"/>
    <w:rsid w:val="00945E13"/>
    <w:rsid w:val="00953113"/>
    <w:rsid w:val="00954B97"/>
    <w:rsid w:val="00955127"/>
    <w:rsid w:val="00955CDF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D59DA"/>
    <w:rsid w:val="009E37D3"/>
    <w:rsid w:val="009E52E7"/>
    <w:rsid w:val="009E7033"/>
    <w:rsid w:val="009F57C0"/>
    <w:rsid w:val="00A0510D"/>
    <w:rsid w:val="00A11569"/>
    <w:rsid w:val="00A204BB"/>
    <w:rsid w:val="00A20A67"/>
    <w:rsid w:val="00A27EE4"/>
    <w:rsid w:val="00A40844"/>
    <w:rsid w:val="00A57976"/>
    <w:rsid w:val="00A636B8"/>
    <w:rsid w:val="00A63907"/>
    <w:rsid w:val="00A74BC5"/>
    <w:rsid w:val="00A8496D"/>
    <w:rsid w:val="00A85D42"/>
    <w:rsid w:val="00A87627"/>
    <w:rsid w:val="00A91D4B"/>
    <w:rsid w:val="00A962D4"/>
    <w:rsid w:val="00A9790B"/>
    <w:rsid w:val="00AA2B8A"/>
    <w:rsid w:val="00AD1BF6"/>
    <w:rsid w:val="00AD2200"/>
    <w:rsid w:val="00AE5D2C"/>
    <w:rsid w:val="00AE6AB7"/>
    <w:rsid w:val="00AE7A32"/>
    <w:rsid w:val="00B162B5"/>
    <w:rsid w:val="00B236AD"/>
    <w:rsid w:val="00B30A26"/>
    <w:rsid w:val="00B32DAC"/>
    <w:rsid w:val="00B37579"/>
    <w:rsid w:val="00B40FFB"/>
    <w:rsid w:val="00B4196F"/>
    <w:rsid w:val="00B45392"/>
    <w:rsid w:val="00B45AA4"/>
    <w:rsid w:val="00B610A2"/>
    <w:rsid w:val="00B761C5"/>
    <w:rsid w:val="00B901ED"/>
    <w:rsid w:val="00BA2CF0"/>
    <w:rsid w:val="00BB7899"/>
    <w:rsid w:val="00BC3813"/>
    <w:rsid w:val="00BC7808"/>
    <w:rsid w:val="00BE099A"/>
    <w:rsid w:val="00C046D4"/>
    <w:rsid w:val="00C06EBC"/>
    <w:rsid w:val="00C0723F"/>
    <w:rsid w:val="00C1591E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70F"/>
    <w:rsid w:val="00CE2498"/>
    <w:rsid w:val="00CE36B8"/>
    <w:rsid w:val="00CF0DA9"/>
    <w:rsid w:val="00CF70E7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3911"/>
    <w:rsid w:val="00D617CC"/>
    <w:rsid w:val="00D621C7"/>
    <w:rsid w:val="00D87A1E"/>
    <w:rsid w:val="00DA1454"/>
    <w:rsid w:val="00DE39D8"/>
    <w:rsid w:val="00DE5614"/>
    <w:rsid w:val="00E0407E"/>
    <w:rsid w:val="00E04FDF"/>
    <w:rsid w:val="00E15F2A"/>
    <w:rsid w:val="00E279E8"/>
    <w:rsid w:val="00E34D04"/>
    <w:rsid w:val="00E579D6"/>
    <w:rsid w:val="00E7042A"/>
    <w:rsid w:val="00E75567"/>
    <w:rsid w:val="00E857D6"/>
    <w:rsid w:val="00EA0163"/>
    <w:rsid w:val="00EA0C3A"/>
    <w:rsid w:val="00EA30C6"/>
    <w:rsid w:val="00EB1C88"/>
    <w:rsid w:val="00EB2779"/>
    <w:rsid w:val="00EC5B98"/>
    <w:rsid w:val="00ED18F9"/>
    <w:rsid w:val="00ED53C9"/>
    <w:rsid w:val="00EE7DA3"/>
    <w:rsid w:val="00F1662D"/>
    <w:rsid w:val="00F3099C"/>
    <w:rsid w:val="00F35F4F"/>
    <w:rsid w:val="00F4250E"/>
    <w:rsid w:val="00F50AC5"/>
    <w:rsid w:val="00F6025D"/>
    <w:rsid w:val="00F66429"/>
    <w:rsid w:val="00F672B2"/>
    <w:rsid w:val="00F8340A"/>
    <w:rsid w:val="00F83D10"/>
    <w:rsid w:val="00F8621D"/>
    <w:rsid w:val="00F96457"/>
    <w:rsid w:val="00FB022D"/>
    <w:rsid w:val="00FB032A"/>
    <w:rsid w:val="00FB1F17"/>
    <w:rsid w:val="00FB3492"/>
    <w:rsid w:val="00FD20DE"/>
    <w:rsid w:val="00FD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ICRv671KvgLWA" TargetMode="External"/><Relationship Id="rId13" Type="http://schemas.openxmlformats.org/officeDocument/2006/relationships/hyperlink" Target="&#1050;&#1054;_&#1069;&#1082;&#1089;&#1087;&#1077;&#1076;&#1080;&#1088;&#1086;&#1074;&#1072;&#1085;&#1080;&#1077;%20&#1075;&#1088;&#1091;&#1079;&#1086;&#1074;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3%20&#1048;&#1051;_&#1069;&#1082;&#1089;&#1087;&#1077;&#1076;&#1080;&#1088;&#1086;&#1074;&#1072;&#1085;&#1080;&#1077;%20&#1075;&#1088;&#1091;&#1079;&#1086;&#1074;.xls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103;%20&#1082;%20&#1052;&#1086;&#1076;&#1091;&#1083;&#1103;&#1084;%20&#1050;&#1047;_&#1069;&#1082;&#1089;&#1087;&#1077;&#1076;&#1080;&#1088;&#1086;&#1074;&#1072;&#1085;&#1080;&#1077;%20&#1075;&#1088;&#1091;&#1079;&#1086;&#1074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2%20&#1052;&#1072;&#1090;&#1088;&#1080;&#1094;&#1072;%20&#1050;&#1047;_&#1069;&#1082;&#1089;&#1087;&#1077;&#1076;&#1080;&#1088;&#1086;&#1074;&#1072;&#1085;&#1080;&#1077;%20&#1075;&#1088;&#1091;&#1079;&#1086;&#1074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6%20&#1048;&#1085;&#1089;&#1090;&#1088;&#1091;&#1082;&#1094;&#1080;&#1103;%20&#1087;&#1086;%20&#1054;&#1058;%20&#1080;%20&#1058;&#1041;_&#1069;&#1082;&#1089;&#1087;&#1077;&#1076;&#1080;&#1088;&#1086;&#1074;&#1072;&#1085;&#1080;&#1077;%20&#1075;&#1088;&#1091;&#1079;&#1086;&#1074;.docx" TargetMode="External"/><Relationship Id="rId10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69;&#1082;&#1089;&#1087;&#1077;&#1076;&#1080;&#1088;&#1086;&#1074;&#1072;&#1085;&#1080;&#1077;%20&#1075;&#1088;&#1091;&#1079;&#1086;&#1074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69;&#1082;&#1089;&#1087;&#1077;&#1076;&#1080;&#1088;&#1086;&#1074;&#1072;&#1085;&#1080;&#1077;%20&#1075;&#1088;&#1091;&#1079;&#1086;&#1074;.docx" TargetMode="External"/><Relationship Id="rId14" Type="http://schemas.openxmlformats.org/officeDocument/2006/relationships/hyperlink" Target="&#1055;&#1088;&#1080;&#1083;&#1086;&#1078;&#1077;&#1085;&#1080;&#1077;%205%20&#1055;&#1047;_&#1069;&#1082;&#1089;&#1087;&#1077;&#1076;&#1080;&#1088;&#1086;&#1074;&#1072;&#1085;&#1080;&#1077;%20&#1075;&#1088;&#1091;&#1079;&#1086;&#1074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2565-5FAC-41AC-B00F-70AAA24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47</cp:revision>
  <cp:lastPrinted>2023-02-07T06:31:00Z</cp:lastPrinted>
  <dcterms:created xsi:type="dcterms:W3CDTF">2023-01-12T10:59:00Z</dcterms:created>
  <dcterms:modified xsi:type="dcterms:W3CDTF">2023-04-06T06:03:00Z</dcterms:modified>
</cp:coreProperties>
</file>